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95D" w:rsidRDefault="00FC7020">
      <w:pPr>
        <w:jc w:val="center"/>
        <w:rPr>
          <w:b/>
        </w:rPr>
      </w:pPr>
      <w:r>
        <w:rPr>
          <w:b/>
        </w:rPr>
        <w:t xml:space="preserve">ENTENDIMENTO DO OBJETO DE FISCALIZAÇÃO </w:t>
      </w:r>
    </w:p>
    <w:p w:rsidR="00FE095D" w:rsidRDefault="00FE095D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f3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FE095D">
        <w:tc>
          <w:tcPr>
            <w:tcW w:w="2370" w:type="dxa"/>
            <w:shd w:val="clear" w:color="auto" w:fill="CCCCCC"/>
          </w:tcPr>
          <w:p w:rsidR="00FE095D" w:rsidRDefault="00FC7020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UNIDADE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JURISDICIONADA</w:t>
            </w:r>
          </w:p>
        </w:tc>
        <w:tc>
          <w:tcPr>
            <w:tcW w:w="6660" w:type="dxa"/>
            <w:shd w:val="clear" w:color="auto" w:fill="auto"/>
          </w:tcPr>
          <w:p w:rsidR="00FE095D" w:rsidRDefault="00FE095D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  <w:tr w:rsidR="00FE095D">
        <w:tc>
          <w:tcPr>
            <w:tcW w:w="2370" w:type="dxa"/>
            <w:shd w:val="clear" w:color="auto" w:fill="CCCCCC"/>
          </w:tcPr>
          <w:p w:rsidR="00FE095D" w:rsidRDefault="00FC7020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FE095D" w:rsidRDefault="00FE095D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</w:tbl>
    <w:p w:rsidR="00FE095D" w:rsidRDefault="00FE095D">
      <w:pPr>
        <w:widowControl w:val="0"/>
        <w:spacing w:line="240" w:lineRule="auto"/>
        <w:rPr>
          <w:b/>
        </w:rPr>
      </w:pPr>
    </w:p>
    <w:p w:rsidR="00FE095D" w:rsidRDefault="00FE095D">
      <w:pPr>
        <w:widowControl w:val="0"/>
        <w:spacing w:line="240" w:lineRule="auto"/>
        <w:rPr>
          <w:b/>
        </w:rPr>
      </w:pPr>
    </w:p>
    <w:tbl>
      <w:tblPr>
        <w:tblStyle w:val="af4"/>
        <w:tblW w:w="9057" w:type="dxa"/>
        <w:tblInd w:w="-15" w:type="dxa"/>
        <w:tblBorders>
          <w:top w:val="single" w:sz="12" w:space="0" w:color="CC4125"/>
          <w:left w:val="single" w:sz="12" w:space="0" w:color="CC4125"/>
          <w:bottom w:val="single" w:sz="12" w:space="0" w:color="CC4125"/>
          <w:right w:val="single" w:sz="12" w:space="0" w:color="CC4125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FE095D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Panorama do jurisdicionado</w:t>
            </w: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Legislação que regulamenta a entidade (marco regulatório)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Valores fundamentais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Competências e atribuições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Organização, objetivos e estratégias do jurisdicionado</w:t>
            </w: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Objetivos da entidade (estratégicos e de negócios)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Principais políticas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estratégias para atingir os objetivos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Riscos relacionados aos objetivos e estratégias da entidade que possam resultar em não conformidades relevantes.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organizacional e operacional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de governança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 Macroprocessos (áreas, funções e atividades relevante para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realização dos objetivos) e seus responsáveis em todos os níveis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Fluxograma, mapa de processo ou diagrama de blocos das principais atividades e processos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ind w:left="22" w:firstLine="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Principais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programas, funções ou projetos administrados pela entidade (Ver Plano Plurianual - PPA e Lei Orçamentária Anual -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LOA).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14.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Recursos financeiros, humanos e outros.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Medidas de desempenho do jurisdicionado</w:t>
            </w: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 Como o desempenho da entidade é mensurado e revisado?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(metas, indicadores-chaves de desempenho)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16. Existem relatórios periódicos de desempenho da entidade? (Ex. Relatórios de Gestão ou de atividades/ Relatórios Integrados ou de Sustentabilidade)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95D" w:rsidRDefault="00FE095D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E095D">
        <w:trPr>
          <w:trHeight w:val="40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FE095D" w:rsidRDefault="00FC7020">
            <w:pPr>
              <w:tabs>
                <w:tab w:val="left" w:pos="306"/>
              </w:tabs>
              <w:spacing w:line="360" w:lineRule="auto"/>
              <w:ind w:left="164" w:hanging="10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Componentes de controles internos em que o objeto está inserido</w:t>
            </w: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17.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Há definição clara de responsabilidades, competências e atribuições no projeto/programa/atividade?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19. Existe programa de educação continuada, para a área aud</w:t>
            </w:r>
            <w:r>
              <w:rPr>
                <w:rFonts w:ascii="Arial" w:eastAsia="Arial" w:hAnsi="Arial" w:cs="Arial"/>
                <w:sz w:val="20"/>
                <w:szCs w:val="20"/>
              </w:rPr>
              <w:t>itada, efetivamente executada com ações de capacitação orientadas para melhorar o desempenho dos servidores?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20. Todos os procedimentos e instruções operacionais referentes ao objeto auditado são padronizados formalmente?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21.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Os possíveis riscos que afetam o objeto avaliado foram identificados, e se existem ações para mitigá-los?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22.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Na ocorrência de indícios de fraudes e desvios em relação ao objeto auditado, é prática da unidade responsável instaurar sindicância para apurar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responsabilidades e exigir ressarcimentos?</w:t>
            </w:r>
          </w:p>
          <w:p w:rsidR="00FE095D" w:rsidRDefault="00FE095D">
            <w:pPr>
              <w:tabs>
                <w:tab w:val="left" w:pos="306"/>
              </w:tabs>
              <w:spacing w:line="259" w:lineRule="auto"/>
              <w:ind w:left="57" w:right="15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23. Quando necessário, os gestores determinam ações corretivas com vistas ao aperfeiçoamento da estrutura de controle interno referente ao objeto auditado?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tabs>
                <w:tab w:val="left" w:pos="306"/>
              </w:tabs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24.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25. Existem padrões para medir periodicamente o desempenho dos objetivos e meta</w:t>
            </w:r>
            <w:r>
              <w:rPr>
                <w:rFonts w:ascii="Arial" w:eastAsia="Arial" w:hAnsi="Arial" w:cs="Arial"/>
                <w:sz w:val="20"/>
                <w:szCs w:val="20"/>
              </w:rPr>
              <w:t>s do objeto auditado?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  <w:tr w:rsidR="00FE095D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C7020">
            <w:pPr>
              <w:spacing w:line="259" w:lineRule="auto"/>
              <w:ind w:right="1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26. Quando necessário, os gestores determinam ações corretivas com vistas ao alcance de metas do objeto auditado?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95D" w:rsidRDefault="00FE095D">
            <w:pPr>
              <w:spacing w:after="160" w:line="259" w:lineRule="auto"/>
              <w:rPr>
                <w:rFonts w:ascii="Arial" w:eastAsia="Arial" w:hAnsi="Arial" w:cs="Arial"/>
                <w:color w:val="181717"/>
                <w:sz w:val="20"/>
                <w:szCs w:val="20"/>
              </w:rPr>
            </w:pPr>
          </w:p>
        </w:tc>
      </w:tr>
    </w:tbl>
    <w:p w:rsidR="00FE095D" w:rsidRDefault="00FE095D"/>
    <w:p w:rsidR="00FE095D" w:rsidRDefault="00FE095D">
      <w:pPr>
        <w:rPr>
          <w:sz w:val="4"/>
          <w:szCs w:val="4"/>
        </w:rPr>
      </w:pP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FE095D">
        <w:tc>
          <w:tcPr>
            <w:tcW w:w="1995" w:type="dxa"/>
            <w:shd w:val="clear" w:color="auto" w:fill="CCCCCC"/>
          </w:tcPr>
          <w:p w:rsidR="00FE095D" w:rsidRDefault="00FC7020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FE095D" w:rsidRDefault="00FE095D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FE095D">
        <w:tc>
          <w:tcPr>
            <w:tcW w:w="9060" w:type="dxa"/>
            <w:gridSpan w:val="2"/>
            <w:shd w:val="clear" w:color="auto" w:fill="auto"/>
          </w:tcPr>
          <w:p w:rsidR="00FE095D" w:rsidRDefault="00FC7020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FE095D" w:rsidRDefault="00FC7020">
      <w:pPr>
        <w:widowControl w:val="0"/>
        <w:spacing w:before="57" w:after="57" w:line="240" w:lineRule="auto"/>
        <w:jc w:val="both"/>
        <w:rPr>
          <w:b/>
          <w:color w:val="1C4587"/>
        </w:rPr>
      </w:pPr>
      <w:r>
        <w:br w:type="page"/>
      </w:r>
    </w:p>
    <w:p w:rsidR="00FE095D" w:rsidRDefault="00FC7020">
      <w:pPr>
        <w:rPr>
          <w:b/>
        </w:rPr>
      </w:pPr>
      <w:r>
        <w:rPr>
          <w:b/>
          <w:color w:val="1C4587"/>
          <w:sz w:val="20"/>
          <w:szCs w:val="20"/>
        </w:rPr>
        <w:lastRenderedPageBreak/>
        <w:t>Orientações para preenchimento do quadro de entendimento do objeto de fiscalização</w:t>
      </w:r>
    </w:p>
    <w:tbl>
      <w:tblPr>
        <w:tblStyle w:val="af6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7200"/>
      </w:tblGrid>
      <w:tr w:rsidR="00FE095D">
        <w:trPr>
          <w:trHeight w:val="545"/>
        </w:trPr>
        <w:tc>
          <w:tcPr>
            <w:tcW w:w="1815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é de estabelecer e documentar um entendimento do objeto de fiscalização, a partir do jurisdicionado e de seu ambiente.</w:t>
            </w:r>
          </w:p>
          <w:p w:rsidR="00FE095D" w:rsidRDefault="00FE095D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E095D">
        <w:trPr>
          <w:trHeight w:val="362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100/45</w:t>
            </w:r>
          </w:p>
        </w:tc>
      </w:tr>
      <w:tr w:rsidR="00FE095D">
        <w:trPr>
          <w:trHeight w:val="4538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ENTENDIMENTO DO OBJETO DE FISCALIZAÇÃO</w:t>
            </w:r>
          </w:p>
          <w:p w:rsidR="00FE095D" w:rsidRDefault="00FE095D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precisa entender o jurisdicionado e o seu ambiente para avaliar os riscos de desconformidades nas suas operações e atividades.</w:t>
            </w:r>
          </w:p>
          <w:p w:rsidR="00FE095D" w:rsidRDefault="00FE095D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Baseada na lista fornecida na matriz acima, o auditor consegue reunir um entendimento geral do jurisdicionado, levando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em consideração ambos fatores internos e externos. O auditor deve entender os negócios/atividades essenciais do jurisdicionado. Ao documentar o entendimento do jurisdicionado e seu ambiente, o auditor precisa ter em mente os riscos relacionados ao jurisdi</w:t>
            </w:r>
            <w:r>
              <w:rPr>
                <w:rFonts w:ascii="Arial" w:eastAsia="Arial" w:hAnsi="Arial" w:cs="Arial"/>
                <w:sz w:val="18"/>
                <w:szCs w:val="18"/>
              </w:rPr>
              <w:t>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FE095D" w:rsidRDefault="00FE095D">
            <w:pPr>
              <w:widowControl w:val="0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entidade pode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ser originado a partir de técnicas de coleta de dados, como entrevistas, observação e de procedimentos analíticos. A escolha de qual procedimento utilizar e a extensão da sua aplicação depende de julgamento profissional do auditor sobre o alcance e a prof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undidade do entendimento necessário em cada auditoria. </w:t>
            </w:r>
          </w:p>
          <w:p w:rsidR="00FE095D" w:rsidRDefault="00FE095D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Considere a lista de fontes documentais fornecidas na tabela abaixo como possíveis fontes para encontrar e documentar a informação necessária.</w:t>
            </w:r>
          </w:p>
          <w:p w:rsidR="00FE095D" w:rsidRDefault="00FE095D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FE095D" w:rsidRDefault="00FC7020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1F497D"/>
                <w:sz w:val="18"/>
                <w:szCs w:val="18"/>
              </w:rPr>
              <w:t>Fontes potenciais de documentos para entender a entidade:</w:t>
            </w:r>
          </w:p>
          <w:tbl>
            <w:tblPr>
              <w:tblStyle w:val="af7"/>
              <w:tblW w:w="6180" w:type="dxa"/>
              <w:tblInd w:w="0" w:type="dxa"/>
              <w:tblBorders>
                <w:top w:val="single" w:sz="12" w:space="0" w:color="C00000"/>
                <w:left w:val="single" w:sz="12" w:space="0" w:color="C00000"/>
                <w:bottom w:val="single" w:sz="12" w:space="0" w:color="C00000"/>
                <w:right w:val="single" w:sz="12" w:space="0" w:color="C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85"/>
              <w:gridCol w:w="5595"/>
            </w:tblGrid>
            <w:tr w:rsidR="00FE095D">
              <w:trPr>
                <w:tblHeader/>
              </w:trPr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E0E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E0E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Documentos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Lista de leis, regras e regulamentações que são relevantes e aplicáveis </w:t>
                  </w:r>
                </w:p>
              </w:tc>
            </w:tr>
            <w:tr w:rsidR="00FE095D">
              <w:trPr>
                <w:trHeight w:val="290"/>
              </w:trPr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Mandatos, cargos/funções e responsabilidades da organização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Orçamento aprovado pelo governo, projetos e ONGs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Outras fontes de financiamento do jurisdicionado 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Documento relativo ao planejamento da entidade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Fluxograma, mapa de processo ou diagrama de blocos das atividades e processos da entidade.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Relatório de desempenho</w:t>
                  </w:r>
                </w:p>
              </w:tc>
            </w:tr>
            <w:tr w:rsidR="00FE095D">
              <w:tc>
                <w:tcPr>
                  <w:tcW w:w="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E095D" w:rsidRDefault="00FC7020">
                  <w:pPr>
                    <w:widowControl w:val="0"/>
                    <w:spacing w:line="36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Relatórios de auditoria passados e relatórios de auditoria interna</w:t>
                  </w:r>
                </w:p>
              </w:tc>
            </w:tr>
          </w:tbl>
          <w:p w:rsidR="00FE095D" w:rsidRDefault="00FE095D">
            <w:pPr>
              <w:spacing w:line="276" w:lineRule="auto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FE095D" w:rsidRDefault="00FC7020">
            <w:pPr>
              <w:spacing w:line="259" w:lineRule="auto"/>
              <w:ind w:left="57" w:right="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Ademais, o</w:t>
            </w:r>
            <w:r>
              <w:rPr>
                <w:rFonts w:ascii="Arial" w:eastAsia="Arial" w:hAnsi="Arial" w:cs="Arial"/>
                <w:sz w:val="18"/>
                <w:szCs w:val="18"/>
              </w:rPr>
              <w:t>s Tribunais de Contas devem promover a instituição e o efetivo funcionamento dos sistemas de controle interno das entidades fiscalizadas. Para entender a entidade auditada ou o objeto, o auditor também precisa entender o sistema de controle interno.</w:t>
            </w:r>
          </w:p>
          <w:p w:rsidR="00FE095D" w:rsidRDefault="00FE095D">
            <w:pPr>
              <w:spacing w:line="259" w:lineRule="auto"/>
              <w:ind w:left="57" w:right="1"/>
              <w:rPr>
                <w:rFonts w:ascii="Arial" w:eastAsia="Arial" w:hAnsi="Arial" w:cs="Arial"/>
                <w:sz w:val="18"/>
                <w:szCs w:val="18"/>
              </w:rPr>
            </w:pPr>
          </w:p>
          <w:p w:rsidR="00FE095D" w:rsidRDefault="00FC7020">
            <w:pPr>
              <w:spacing w:line="259" w:lineRule="auto"/>
              <w:ind w:left="57" w:right="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tip</w:t>
            </w:r>
            <w:r>
              <w:rPr>
                <w:rFonts w:ascii="Arial" w:eastAsia="Arial" w:hAnsi="Arial" w:cs="Arial"/>
                <w:sz w:val="18"/>
                <w:szCs w:val="18"/>
              </w:rPr>
              <w:t>o particular de controles sobre o qual o auditor foca dependerá do objeto e da natureza específica e do escopo da auditoria. Como o objeto pode ser qualitativo ou quantitativo, o auditor irá focar em controles internos quantitativos ou qualitativos ou em u</w:t>
            </w:r>
            <w:r>
              <w:rPr>
                <w:rFonts w:ascii="Arial" w:eastAsia="Arial" w:hAnsi="Arial" w:cs="Arial"/>
                <w:sz w:val="18"/>
                <w:szCs w:val="18"/>
              </w:rPr>
              <w:t>ma combinação destes, de acordo com o escopo de auditoria. Na avaliação de controles internos, o auditor avalia o risco de eles não prevenirem ou não detectarem casos relevantes de não conformidade e de má gestão.</w:t>
            </w:r>
          </w:p>
          <w:p w:rsidR="00FE095D" w:rsidRDefault="00FE095D">
            <w:pPr>
              <w:spacing w:line="259" w:lineRule="auto"/>
              <w:ind w:left="57" w:right="1"/>
              <w:rPr>
                <w:rFonts w:ascii="Arial" w:eastAsia="Arial" w:hAnsi="Arial" w:cs="Arial"/>
                <w:sz w:val="18"/>
                <w:szCs w:val="18"/>
              </w:rPr>
            </w:pPr>
          </w:p>
          <w:p w:rsidR="00FE095D" w:rsidRDefault="00FC7020">
            <w:pPr>
              <w:spacing w:line="259" w:lineRule="auto"/>
              <w:ind w:left="57" w:right="1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 papel de trabalho traz um modelo orient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ativo, podendo ser reformulado de acordo com a entidade e o objeto auditado.  </w:t>
            </w:r>
          </w:p>
          <w:p w:rsidR="00FE095D" w:rsidRDefault="00FE095D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FE095D">
        <w:trPr>
          <w:trHeight w:val="693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da equipe de auditoria precisa verificar se as informações são claras e suficientes para compreensão do objeto de fiscalização 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das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áreas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significativas do ambiente de controles sob avaliação. </w:t>
            </w:r>
          </w:p>
        </w:tc>
      </w:tr>
      <w:tr w:rsidR="00FE095D">
        <w:trPr>
          <w:trHeight w:val="567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E095D" w:rsidRDefault="00FC702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 tabelas indicando os nomes das pessoas que elaboraram e documentaram o material e o nome do coordenador precisam estar completas.</w:t>
            </w:r>
          </w:p>
        </w:tc>
      </w:tr>
    </w:tbl>
    <w:p w:rsidR="00FE095D" w:rsidRDefault="00FE095D">
      <w:pPr>
        <w:widowControl w:val="0"/>
        <w:tabs>
          <w:tab w:val="center" w:pos="4252"/>
          <w:tab w:val="right" w:pos="8504"/>
        </w:tabs>
        <w:spacing w:line="240" w:lineRule="auto"/>
      </w:pPr>
    </w:p>
    <w:p w:rsidR="00FE095D" w:rsidRDefault="00FE095D"/>
    <w:sectPr w:rsidR="00FE09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C7020">
      <w:pPr>
        <w:spacing w:line="240" w:lineRule="auto"/>
      </w:pPr>
      <w:r>
        <w:separator/>
      </w:r>
    </w:p>
  </w:endnote>
  <w:endnote w:type="continuationSeparator" w:id="0">
    <w:p w:rsidR="00000000" w:rsidRDefault="00FC7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5D" w:rsidRDefault="00FE09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1fob9te" w:colFirst="0" w:colLast="0"/>
  <w:bookmarkEnd w:id="4"/>
  <w:p w:rsidR="00FE095D" w:rsidRDefault="00FC70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FE095D" w:rsidRDefault="00FE09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5D" w:rsidRDefault="00FE09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C7020">
      <w:pPr>
        <w:spacing w:line="240" w:lineRule="auto"/>
      </w:pPr>
      <w:r>
        <w:separator/>
      </w:r>
    </w:p>
  </w:footnote>
  <w:footnote w:type="continuationSeparator" w:id="0">
    <w:p w:rsidR="00000000" w:rsidRDefault="00FC7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5D" w:rsidRDefault="00FE09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5D" w:rsidRDefault="00FE095D">
    <w:pPr>
      <w:tabs>
        <w:tab w:val="center" w:pos="4252"/>
        <w:tab w:val="right" w:pos="8504"/>
      </w:tabs>
      <w:spacing w:line="240" w:lineRule="auto"/>
    </w:pPr>
  </w:p>
  <w:tbl>
    <w:tblPr>
      <w:tblStyle w:val="af8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FE095D">
      <w:trPr>
        <w:trHeight w:val="1418"/>
        <w:jc w:val="center"/>
      </w:trPr>
      <w:tc>
        <w:tcPr>
          <w:tcW w:w="2420" w:type="dxa"/>
          <w:vAlign w:val="center"/>
        </w:tcPr>
        <w:p w:rsidR="00FE095D" w:rsidRDefault="00FC702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33BFB03" wp14:editId="7F194EAB">
                <wp:simplePos x="0" y="0"/>
                <wp:positionH relativeFrom="column">
                  <wp:posOffset>104775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FE095D" w:rsidRDefault="00FC70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E095D" w:rsidRDefault="00FC70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E095D" w:rsidRDefault="00FC70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E095D" w:rsidRDefault="00FC70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E095D" w:rsidRDefault="00FE095D">
    <w:pPr>
      <w:tabs>
        <w:tab w:val="center" w:pos="4252"/>
        <w:tab w:val="right" w:pos="8504"/>
      </w:tabs>
      <w:spacing w:line="240" w:lineRule="auto"/>
    </w:pPr>
  </w:p>
  <w:p w:rsidR="00FE095D" w:rsidRDefault="00FE095D">
    <w:pPr>
      <w:widowControl w:val="0"/>
      <w:tabs>
        <w:tab w:val="center" w:pos="4702"/>
        <w:tab w:val="right" w:pos="9405"/>
      </w:tabs>
      <w:spacing w:line="240" w:lineRule="auto"/>
    </w:pPr>
    <w:bookmarkStart w:id="3" w:name="_heading=h.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5D" w:rsidRDefault="00FE09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6073A"/>
    <w:multiLevelType w:val="multilevel"/>
    <w:tmpl w:val="BF64173A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5D"/>
    <w:rsid w:val="00FC7020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02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2F8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02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02F8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23E90"/>
    <w:pPr>
      <w:ind w:left="720"/>
      <w:contextualSpacing/>
    </w:p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eWbSwTAOB04wF4bQAKWqRcddRQ==">CgMxLjAyCWguM3pueXNoNzIIaC5namRneHMyCWguMzBqMHpsbDIJaC4xZm9iOXRlOAByITE1MEtQYVNZbWpfdzFIck1wc1hhMzNyN2ctcF9IdHp5bw==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2024-02-22T20:47:00Z</dcterms:created>
  <dcterms:modified xsi:type="dcterms:W3CDTF">2025-08-04T14:11:00Z</dcterms:modified>
</cp:coreProperties>
</file>